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2FD" w14:textId="053F7627" w:rsidR="00773047" w:rsidRPr="00531CE2" w:rsidRDefault="00C73503" w:rsidP="00033D25">
      <w:pPr>
        <w:pStyle w:val="berschrift1"/>
        <w:spacing w:after="40"/>
      </w:pPr>
      <w:r w:rsidRPr="00531CE2">
        <w:t>Digitaler Kontaktpunkt für</w:t>
      </w:r>
    </w:p>
    <w:p w14:paraId="395E97CA" w14:textId="33C5F6D6" w:rsidR="00C73503" w:rsidRPr="00531CE2" w:rsidRDefault="00C73503" w:rsidP="00033D25">
      <w:pPr>
        <w:pStyle w:val="berschrift1"/>
        <w:spacing w:after="40"/>
      </w:pPr>
      <w:r w:rsidRPr="00531CE2">
        <w:t>Recht und Ethik im Forschungsdatenmanagement</w:t>
      </w:r>
    </w:p>
    <w:p w14:paraId="00AFFA95" w14:textId="77777777" w:rsidR="00C73503" w:rsidRDefault="00C73503" w:rsidP="00531CE2">
      <w:pPr>
        <w:spacing w:after="0"/>
        <w:rPr>
          <w:rFonts w:ascii="Arial" w:hAnsi="Arial" w:cs="Arial"/>
        </w:rPr>
      </w:pPr>
    </w:p>
    <w:p w14:paraId="48856B4C" w14:textId="77777777" w:rsidR="008E6539" w:rsidRPr="00531CE2" w:rsidRDefault="008E6539" w:rsidP="00531CE2">
      <w:pPr>
        <w:spacing w:after="0"/>
        <w:rPr>
          <w:rFonts w:ascii="Arial" w:hAnsi="Arial" w:cs="Arial"/>
        </w:rPr>
      </w:pPr>
    </w:p>
    <w:p w14:paraId="7AE8ED29" w14:textId="67C2733C" w:rsidR="00CA4B9F" w:rsidRPr="00CA4B9F" w:rsidRDefault="00C73503" w:rsidP="001D2818">
      <w:pPr>
        <w:pStyle w:val="berschrift3"/>
        <w:spacing w:before="120" w:after="120"/>
      </w:pPr>
      <w:r w:rsidRPr="00531CE2">
        <w:t>Checkliste</w:t>
      </w:r>
      <w:r w:rsidR="00773047" w:rsidRPr="00531CE2">
        <w:t>:</w:t>
      </w:r>
      <w:r w:rsidRPr="00531CE2">
        <w:t xml:space="preserve"> </w:t>
      </w:r>
      <w:r w:rsidR="003A235F">
        <w:t>Künstliche Intelligenz</w:t>
      </w:r>
    </w:p>
    <w:p w14:paraId="1771C43B" w14:textId="77777777" w:rsidR="008E6539" w:rsidRPr="00531CE2" w:rsidRDefault="008E6539" w:rsidP="00531CE2">
      <w:pPr>
        <w:spacing w:after="0"/>
        <w:rPr>
          <w:rFonts w:ascii="Arial" w:hAnsi="Arial" w:cs="Arial"/>
          <w:b/>
        </w:rPr>
      </w:pPr>
    </w:p>
    <w:p w14:paraId="5F66D7A3" w14:textId="4410E3D6" w:rsidR="00170B4A" w:rsidRPr="001675F9" w:rsidRDefault="00AF4E1C" w:rsidP="00AF4E1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3095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5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675F9">
        <w:rPr>
          <w:rFonts w:ascii="Arial" w:hAnsi="Arial" w:cs="Arial"/>
          <w:sz w:val="24"/>
          <w:szCs w:val="24"/>
        </w:rPr>
        <w:tab/>
      </w:r>
      <w:r w:rsidR="00170B4A" w:rsidRPr="001675F9">
        <w:rPr>
          <w:rFonts w:ascii="Arial" w:hAnsi="Arial" w:cs="Arial"/>
          <w:sz w:val="24"/>
          <w:szCs w:val="24"/>
        </w:rPr>
        <w:t>Es ist geklärt, ob generative KI-Systeme mit entsprechender Lizenz im Forschungsprojekt verwendet werden.</w:t>
      </w:r>
    </w:p>
    <w:p w14:paraId="076B7E28" w14:textId="1936829D" w:rsidR="00170B4A" w:rsidRPr="001675F9" w:rsidRDefault="00AF4E1C" w:rsidP="00AF4E1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8036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5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675F9">
        <w:rPr>
          <w:rFonts w:ascii="Arial" w:hAnsi="Arial" w:cs="Arial"/>
          <w:sz w:val="24"/>
          <w:szCs w:val="24"/>
        </w:rPr>
        <w:tab/>
      </w:r>
      <w:r w:rsidR="00170B4A" w:rsidRPr="001675F9">
        <w:rPr>
          <w:rFonts w:ascii="Arial" w:hAnsi="Arial" w:cs="Arial"/>
          <w:sz w:val="24"/>
          <w:szCs w:val="24"/>
        </w:rPr>
        <w:t xml:space="preserve">Die Risiken bei der Verwendung von KI-Systemen (Plagiate, Halluzinationen, Bias etc.) sind bekannt, und es wurden Maßnahmen ergriffen, um diese zu beseitigen oder zu minimieren. </w:t>
      </w:r>
    </w:p>
    <w:p w14:paraId="41D37443" w14:textId="11341D4E" w:rsidR="00170B4A" w:rsidRPr="001675F9" w:rsidRDefault="00AF4E1C" w:rsidP="00AF4E1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8518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5F9" w:rsidRPr="001675F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75F9">
        <w:rPr>
          <w:rFonts w:ascii="Arial" w:hAnsi="Arial" w:cs="Arial"/>
          <w:sz w:val="24"/>
          <w:szCs w:val="24"/>
        </w:rPr>
        <w:tab/>
      </w:r>
      <w:r w:rsidR="00170B4A" w:rsidRPr="001675F9">
        <w:rPr>
          <w:rFonts w:ascii="Arial" w:hAnsi="Arial" w:cs="Arial"/>
          <w:sz w:val="24"/>
          <w:szCs w:val="24"/>
        </w:rPr>
        <w:t>Es ist bekannt, dass die Verantwortung für die generierten Daten allein bei dem*der Wissenschaftler*in liegt, der*die die KI verwendet.</w:t>
      </w:r>
    </w:p>
    <w:p w14:paraId="681FFCDD" w14:textId="00B3378F" w:rsidR="00170B4A" w:rsidRPr="001675F9" w:rsidRDefault="00AF4E1C" w:rsidP="00AF4E1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6604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5F9" w:rsidRPr="001675F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75F9">
        <w:rPr>
          <w:rFonts w:ascii="Arial" w:hAnsi="Arial" w:cs="Arial"/>
          <w:sz w:val="24"/>
          <w:szCs w:val="24"/>
        </w:rPr>
        <w:tab/>
      </w:r>
      <w:r w:rsidR="00170B4A" w:rsidRPr="001675F9">
        <w:rPr>
          <w:rFonts w:ascii="Arial" w:hAnsi="Arial" w:cs="Arial"/>
          <w:sz w:val="24"/>
          <w:szCs w:val="24"/>
        </w:rPr>
        <w:t xml:space="preserve">In Veröffentlichungen wird die Nutzung von KI-Systemen entsprechend fachspezifischer Vorgaben und/oder Vorgaben des Fördergeber, des Verlages, der Zeitschrift kenntlich gemacht. </w:t>
      </w:r>
    </w:p>
    <w:p w14:paraId="2E3491EA" w14:textId="18F1D23A" w:rsidR="00170B4A" w:rsidRPr="001675F9" w:rsidRDefault="00AF4E1C" w:rsidP="00AF4E1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8880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5F9" w:rsidRPr="001675F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75F9">
        <w:rPr>
          <w:rFonts w:ascii="Arial" w:hAnsi="Arial" w:cs="Arial"/>
          <w:sz w:val="24"/>
          <w:szCs w:val="24"/>
        </w:rPr>
        <w:tab/>
      </w:r>
      <w:r w:rsidR="00170B4A" w:rsidRPr="001675F9">
        <w:rPr>
          <w:rFonts w:ascii="Arial" w:hAnsi="Arial" w:cs="Arial"/>
          <w:sz w:val="24"/>
          <w:szCs w:val="24"/>
        </w:rPr>
        <w:t>Je nach fachspezifischen Vorgaben: Der Einsatz der KI, inkl. der Prompts, wird dokumentiert.</w:t>
      </w:r>
    </w:p>
    <w:p w14:paraId="6DA6E79D" w14:textId="100E24A3" w:rsidR="00531CE2" w:rsidRPr="001675F9" w:rsidRDefault="00AF4E1C" w:rsidP="00AF4E1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266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5F9" w:rsidRPr="001675F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75F9">
        <w:rPr>
          <w:rFonts w:ascii="Arial" w:hAnsi="Arial" w:cs="Arial"/>
          <w:sz w:val="24"/>
          <w:szCs w:val="24"/>
        </w:rPr>
        <w:tab/>
      </w:r>
      <w:r w:rsidR="00170B4A" w:rsidRPr="001675F9">
        <w:rPr>
          <w:rFonts w:ascii="Arial" w:hAnsi="Arial" w:cs="Arial"/>
          <w:sz w:val="24"/>
          <w:szCs w:val="24"/>
        </w:rPr>
        <w:t>Eigene Daten werden, wenn gewünscht, gegen die Nutzung für KI-Trainings zu nicht-wissenschaftlichen Zwecken durch einen maschinenlesbaren Nutzungsvorbehalt gesichert.</w:t>
      </w:r>
    </w:p>
    <w:p w14:paraId="186C7E04" w14:textId="11D34706" w:rsidR="004E0BDE" w:rsidRDefault="004E0BDE" w:rsidP="004E0BDE">
      <w:pPr>
        <w:spacing w:after="60" w:line="288" w:lineRule="auto"/>
        <w:jc w:val="both"/>
        <w:rPr>
          <w:rFonts w:ascii="Arial" w:hAnsi="Arial" w:cs="Arial"/>
        </w:rPr>
      </w:pPr>
    </w:p>
    <w:p w14:paraId="54C1C155" w14:textId="77777777" w:rsidR="004F0F2D" w:rsidRDefault="004F0F2D" w:rsidP="004E0BDE">
      <w:pPr>
        <w:spacing w:after="60" w:line="288" w:lineRule="auto"/>
        <w:jc w:val="both"/>
        <w:rPr>
          <w:rFonts w:ascii="Arial" w:hAnsi="Arial" w:cs="Arial"/>
        </w:rPr>
      </w:pPr>
    </w:p>
    <w:p w14:paraId="2D9636F3" w14:textId="5B89FCD2" w:rsidR="00033D25" w:rsidRDefault="008E6539" w:rsidP="004E0BDE">
      <w:pPr>
        <w:spacing w:after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nähere Informationen zu </w:t>
      </w:r>
      <w:r w:rsidR="00DA36ED">
        <w:rPr>
          <w:rFonts w:ascii="Arial" w:hAnsi="Arial" w:cs="Arial"/>
        </w:rPr>
        <w:t>Künstlicher Intelligenz</w:t>
      </w:r>
      <w:r>
        <w:rPr>
          <w:rFonts w:ascii="Arial" w:hAnsi="Arial" w:cs="Arial"/>
        </w:rPr>
        <w:t xml:space="preserve"> im Forschungsdatenmanagement siehe:</w:t>
      </w:r>
    </w:p>
    <w:p w14:paraId="5FA4DF9A" w14:textId="5C8AC6B2" w:rsidR="008E6539" w:rsidRPr="004E0BDE" w:rsidRDefault="00170B4A" w:rsidP="004E0BDE">
      <w:pPr>
        <w:spacing w:after="60" w:line="288" w:lineRule="auto"/>
        <w:jc w:val="both"/>
        <w:rPr>
          <w:rFonts w:ascii="Arial" w:hAnsi="Arial" w:cs="Arial"/>
        </w:rPr>
      </w:pPr>
      <w:hyperlink r:id="rId7" w:history="1">
        <w:r w:rsidRPr="005A55F3">
          <w:rPr>
            <w:rStyle w:val="Hyperlink"/>
            <w:rFonts w:ascii="Arial" w:hAnsi="Arial" w:cs="Arial"/>
          </w:rPr>
          <w:t>https://fdm-bb.de/rechtlich-ethischer-kontaktpunkt/rechtliche-aspekte-im-fdm/kuenstliche-intelligenz/</w:t>
        </w:r>
      </w:hyperlink>
      <w:r>
        <w:rPr>
          <w:rFonts w:ascii="Arial" w:hAnsi="Arial" w:cs="Arial"/>
        </w:rPr>
        <w:t xml:space="preserve"> </w:t>
      </w:r>
      <w:r w:rsidR="004F0F2D">
        <w:rPr>
          <w:rFonts w:ascii="Arial" w:hAnsi="Arial" w:cs="Arial"/>
        </w:rPr>
        <w:t xml:space="preserve"> </w:t>
      </w:r>
      <w:r w:rsidR="00324F69">
        <w:rPr>
          <w:rFonts w:ascii="Arial" w:hAnsi="Arial" w:cs="Arial"/>
        </w:rPr>
        <w:t xml:space="preserve"> </w:t>
      </w:r>
    </w:p>
    <w:sectPr w:rsidR="008E6539" w:rsidRPr="004E0BDE" w:rsidSect="00033D25">
      <w:headerReference w:type="default" r:id="rId8"/>
      <w:footerReference w:type="default" r:id="rId9"/>
      <w:pgSz w:w="11906" w:h="16838"/>
      <w:pgMar w:top="2835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4EF" w14:textId="77777777" w:rsidR="00C73503" w:rsidRDefault="00C73503" w:rsidP="00C73503">
      <w:pPr>
        <w:spacing w:after="0" w:line="240" w:lineRule="auto"/>
      </w:pPr>
      <w:r>
        <w:separator/>
      </w:r>
    </w:p>
  </w:endnote>
  <w:endnote w:type="continuationSeparator" w:id="0">
    <w:p w14:paraId="4B335DF8" w14:textId="77777777" w:rsidR="00C73503" w:rsidRDefault="00C73503" w:rsidP="00C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ABF" w14:textId="77777777" w:rsidR="005A5A1B" w:rsidRDefault="005A5A1B">
    <w:pPr>
      <w:pStyle w:val="Fuzeile"/>
      <w:rPr>
        <w:rFonts w:ascii="Arial" w:hAnsi="Arial" w:cs="Arial"/>
        <w:sz w:val="18"/>
        <w:szCs w:val="18"/>
      </w:rPr>
    </w:pPr>
  </w:p>
  <w:p w14:paraId="3DB8C14E" w14:textId="4A52F6C1" w:rsidR="005A5A1B" w:rsidRDefault="00033D25">
    <w:pPr>
      <w:pStyle w:val="Fuzeile"/>
      <w:rPr>
        <w:rFonts w:ascii="Arial" w:hAnsi="Arial" w:cs="Arial"/>
        <w:sz w:val="18"/>
        <w:szCs w:val="18"/>
      </w:rPr>
    </w:pPr>
    <w:r w:rsidRPr="00033D25">
      <w:rPr>
        <w:rFonts w:ascii="Arial" w:hAnsi="Arial" w:cs="Arial"/>
        <w:sz w:val="18"/>
        <w:szCs w:val="18"/>
      </w:rPr>
      <w:t>D</w:t>
    </w:r>
    <w:r w:rsidR="005A5A1B">
      <w:rPr>
        <w:rFonts w:ascii="Arial" w:hAnsi="Arial" w:cs="Arial"/>
        <w:sz w:val="18"/>
        <w:szCs w:val="18"/>
      </w:rPr>
      <w:t>igitaler Kontaktpunkt</w:t>
    </w:r>
    <w:r w:rsidRPr="00033D25">
      <w:rPr>
        <w:rFonts w:ascii="Arial" w:hAnsi="Arial" w:cs="Arial"/>
        <w:sz w:val="18"/>
        <w:szCs w:val="18"/>
      </w:rPr>
      <w:t xml:space="preserve"> Recht und Ethik im FDM | Checkliste: </w:t>
    </w:r>
    <w:r w:rsidR="003A235F">
      <w:rPr>
        <w:rFonts w:ascii="Arial" w:hAnsi="Arial" w:cs="Arial"/>
        <w:sz w:val="18"/>
        <w:szCs w:val="18"/>
      </w:rPr>
      <w:t>Künstliche Intelligenz</w:t>
    </w:r>
    <w:r w:rsidR="00AF4E1C">
      <w:rPr>
        <w:rFonts w:ascii="Arial" w:hAnsi="Arial" w:cs="Arial"/>
        <w:sz w:val="18"/>
        <w:szCs w:val="18"/>
      </w:rPr>
      <w:t xml:space="preserve"> (22.09.2025)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4FA4EB78" w14:textId="123A5BD7" w:rsidR="008E6539" w:rsidRPr="00033D25" w:rsidRDefault="005A5A1B">
    <w:pPr>
      <w:pStyle w:val="Fuzeile"/>
      <w:rPr>
        <w:rFonts w:ascii="Arial" w:hAnsi="Arial" w:cs="Arial"/>
        <w:sz w:val="18"/>
        <w:szCs w:val="18"/>
      </w:rPr>
    </w:pPr>
    <w:hyperlink r:id="rId1" w:history="1">
      <w:r w:rsidRPr="004344F7">
        <w:rPr>
          <w:rStyle w:val="Hyperlink"/>
          <w:rFonts w:ascii="Arial" w:hAnsi="Arial" w:cs="Arial"/>
          <w:sz w:val="18"/>
          <w:szCs w:val="18"/>
        </w:rPr>
        <w:t>https://fdm-bb.de/rechtlich-ethischer-kontaktpunkt/</w:t>
      </w:r>
    </w:hyperlink>
    <w:r w:rsidR="008E6539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658" w14:textId="77777777" w:rsidR="00C73503" w:rsidRDefault="00C73503" w:rsidP="00C73503">
      <w:pPr>
        <w:spacing w:after="0" w:line="240" w:lineRule="auto"/>
      </w:pPr>
      <w:r>
        <w:separator/>
      </w:r>
    </w:p>
  </w:footnote>
  <w:footnote w:type="continuationSeparator" w:id="0">
    <w:p w14:paraId="6966CDF6" w14:textId="77777777" w:rsidR="00C73503" w:rsidRDefault="00C73503" w:rsidP="00C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0964" w14:textId="56DA9AAB" w:rsidR="00C73503" w:rsidRDefault="00C7350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4669" wp14:editId="22DC5D6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343150" cy="790575"/>
          <wp:effectExtent l="0" t="0" r="0" b="9525"/>
          <wp:wrapSquare wrapText="bothSides"/>
          <wp:docPr id="3967191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1649C4" wp14:editId="3A9A9F6B">
          <wp:extent cx="1112714" cy="539676"/>
          <wp:effectExtent l="0" t="0" r="0" b="0"/>
          <wp:docPr id="71109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28" cy="54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350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12"/>
    <w:multiLevelType w:val="hybridMultilevel"/>
    <w:tmpl w:val="E99A3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481"/>
    <w:multiLevelType w:val="hybridMultilevel"/>
    <w:tmpl w:val="7046908A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454"/>
    <w:multiLevelType w:val="hybridMultilevel"/>
    <w:tmpl w:val="838AB75C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8AE"/>
    <w:multiLevelType w:val="hybridMultilevel"/>
    <w:tmpl w:val="650E4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4070">
    <w:abstractNumId w:val="3"/>
  </w:num>
  <w:num w:numId="2" w16cid:durableId="24257340">
    <w:abstractNumId w:val="1"/>
  </w:num>
  <w:num w:numId="3" w16cid:durableId="1595288404">
    <w:abstractNumId w:val="2"/>
  </w:num>
  <w:num w:numId="4" w16cid:durableId="96292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3"/>
    <w:rsid w:val="00033D25"/>
    <w:rsid w:val="000C4E61"/>
    <w:rsid w:val="001675F9"/>
    <w:rsid w:val="00170B4A"/>
    <w:rsid w:val="001C1B71"/>
    <w:rsid w:val="001D2818"/>
    <w:rsid w:val="00212AFE"/>
    <w:rsid w:val="00241DBD"/>
    <w:rsid w:val="003151DB"/>
    <w:rsid w:val="00324F69"/>
    <w:rsid w:val="00325182"/>
    <w:rsid w:val="003A235F"/>
    <w:rsid w:val="003F4889"/>
    <w:rsid w:val="004A6DA5"/>
    <w:rsid w:val="004E0BDE"/>
    <w:rsid w:val="004F0F2D"/>
    <w:rsid w:val="00531CE2"/>
    <w:rsid w:val="0055281E"/>
    <w:rsid w:val="005A5A1B"/>
    <w:rsid w:val="00687657"/>
    <w:rsid w:val="00773047"/>
    <w:rsid w:val="00775A7A"/>
    <w:rsid w:val="007D6F19"/>
    <w:rsid w:val="008E6539"/>
    <w:rsid w:val="00974EB7"/>
    <w:rsid w:val="00AF4E1C"/>
    <w:rsid w:val="00C73503"/>
    <w:rsid w:val="00CA4B9F"/>
    <w:rsid w:val="00D04AAF"/>
    <w:rsid w:val="00D24499"/>
    <w:rsid w:val="00D46B95"/>
    <w:rsid w:val="00DA36ED"/>
    <w:rsid w:val="00DF3A3A"/>
    <w:rsid w:val="00E06139"/>
    <w:rsid w:val="00E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BD6B9"/>
  <w15:chartTrackingRefBased/>
  <w15:docId w15:val="{465D61C2-FBE5-48B6-A91D-8A399F3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A7A"/>
    <w:pPr>
      <w:keepNext/>
      <w:keepLines/>
      <w:spacing w:after="20"/>
      <w:jc w:val="center"/>
      <w:outlineLvl w:val="0"/>
    </w:pPr>
    <w:rPr>
      <w:rFonts w:ascii="Arial" w:eastAsiaTheme="majorEastAsia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5A7A"/>
    <w:pPr>
      <w:spacing w:before="0" w:after="0"/>
      <w:jc w:val="center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A7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5A7A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A7A"/>
    <w:pPr>
      <w:numPr>
        <w:ilvl w:val="1"/>
      </w:numPr>
      <w:spacing w:after="120"/>
    </w:pPr>
    <w:rPr>
      <w:rFonts w:ascii="Arial" w:eastAsiaTheme="majorEastAsia" w:hAnsi="Arial" w:cs="Arial"/>
      <w:color w:val="0F4761" w:themeColor="accent1" w:themeShade="BF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A7A"/>
    <w:rPr>
      <w:rFonts w:ascii="Arial" w:eastAsiaTheme="majorEastAsia" w:hAnsi="Arial" w:cs="Arial"/>
      <w:color w:val="0F4761" w:themeColor="accent1" w:themeShade="BF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C7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5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503"/>
  </w:style>
  <w:style w:type="paragraph" w:styleId="Fuzeile">
    <w:name w:val="footer"/>
    <w:basedOn w:val="Standard"/>
    <w:link w:val="Fu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503"/>
  </w:style>
  <w:style w:type="character" w:styleId="Hyperlink">
    <w:name w:val="Hyperlink"/>
    <w:basedOn w:val="Absatz-Standardschriftart"/>
    <w:uiPriority w:val="99"/>
    <w:unhideWhenUsed/>
    <w:rsid w:val="004E0BD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BD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F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F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F69"/>
    <w:rPr>
      <w:b/>
      <w:bCs/>
      <w:kern w:val="0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F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dm-bb.de/rechtlich-ethischer-kontaktpunkt/rechtliche-aspekte-im-fdm/kuenstliche-intelligen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dm-bb.de/rechtlich-ethischer-kontaktpunk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Nowoitnick</dc:creator>
  <cp:keywords/>
  <dc:description/>
  <cp:lastModifiedBy>Jule Nowoitnick</cp:lastModifiedBy>
  <cp:revision>6</cp:revision>
  <dcterms:created xsi:type="dcterms:W3CDTF">2025-09-22T12:54:00Z</dcterms:created>
  <dcterms:modified xsi:type="dcterms:W3CDTF">2025-09-29T07:39:00Z</dcterms:modified>
</cp:coreProperties>
</file>